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0" w:rsidRPr="00407E8A" w:rsidRDefault="00CC2AF0" w:rsidP="00CC2AF0">
      <w:pPr>
        <w:jc w:val="center"/>
        <w:rPr>
          <w:rFonts w:ascii="Verdana" w:hAnsi="Verdana"/>
          <w:b/>
          <w:sz w:val="22"/>
          <w:szCs w:val="22"/>
          <w:lang w:val="en-AU"/>
        </w:rPr>
      </w:pPr>
      <w:r w:rsidRPr="00407E8A">
        <w:rPr>
          <w:rFonts w:ascii="Verdana" w:hAnsi="Verdana"/>
          <w:b/>
          <w:sz w:val="22"/>
          <w:szCs w:val="22"/>
          <w:lang w:val="en-AU"/>
        </w:rPr>
        <w:t>REFERENCES</w:t>
      </w:r>
    </w:p>
    <w:p w:rsidR="00CC2AF0" w:rsidRDefault="00CC2AF0" w:rsidP="00CC2AF0">
      <w:pPr>
        <w:rPr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proofErr w:type="spellStart"/>
      <w:r w:rsidRPr="00CC2AF0">
        <w:rPr>
          <w:rFonts w:ascii="Verdana" w:hAnsi="Verdana"/>
          <w:sz w:val="20"/>
          <w:szCs w:val="20"/>
          <w:lang w:val="en-AU"/>
        </w:rPr>
        <w:t>Kraschnewski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J,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Boan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J, Esposito J. Long-term weight loss maintenance in the United States. International Journal of Obesity. 2010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;34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>(11):1644-1654.</w:t>
      </w:r>
    </w:p>
    <w:p w:rsidR="00CC2AF0" w:rsidRDefault="00CC2AF0" w:rsidP="00CC2AF0">
      <w:pPr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r w:rsidRPr="00CC2AF0">
        <w:rPr>
          <w:rFonts w:ascii="Verdana" w:hAnsi="Verdana"/>
          <w:sz w:val="20"/>
          <w:szCs w:val="20"/>
          <w:lang w:val="en-AU"/>
        </w:rPr>
        <w:t xml:space="preserve">Pinto A,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Gorin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A, Wing R. Successful Weight-loss Maintenance. Annual Review of Nutrition. 2001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;21:323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>-341.</w:t>
      </w:r>
    </w:p>
    <w:p w:rsidR="00CC2AF0" w:rsidRDefault="00CC2AF0" w:rsidP="00CC2AF0">
      <w:pPr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r w:rsidRPr="00CC2AF0">
        <w:rPr>
          <w:rFonts w:ascii="Verdana" w:hAnsi="Verdana"/>
          <w:sz w:val="20"/>
          <w:szCs w:val="20"/>
          <w:lang w:val="en-AU"/>
        </w:rPr>
        <w:t>Australian Health Survey: Nutrition First Results - Foods and Nutrients, 2011-12 [Internet]. Abs.gov.au. 2012 [cited 5 December 2017]. Available from: http://www.abs.gov.au</w:t>
      </w:r>
      <w:bookmarkStart w:id="0" w:name="_GoBack"/>
      <w:bookmarkEnd w:id="0"/>
      <w:r w:rsidRPr="00CC2AF0">
        <w:rPr>
          <w:rFonts w:ascii="Verdana" w:hAnsi="Verdana"/>
          <w:sz w:val="20"/>
          <w:szCs w:val="20"/>
          <w:lang w:val="en-AU"/>
        </w:rPr>
        <w:t>/ausstats/abs@.nsf/Lookup/by%20Subject/4364.0.55.007~2011-12~Main%20Features~Dieting~500</w:t>
      </w:r>
    </w:p>
    <w:p w:rsidR="00CC2AF0" w:rsidRDefault="00CC2AF0" w:rsidP="00CC2AF0">
      <w:pPr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proofErr w:type="spellStart"/>
      <w:r w:rsidRPr="00CC2AF0">
        <w:rPr>
          <w:rFonts w:ascii="Verdana" w:hAnsi="Verdana"/>
          <w:sz w:val="20"/>
          <w:szCs w:val="20"/>
          <w:lang w:val="en-AU"/>
        </w:rPr>
        <w:t>Montani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J,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Schutz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Y,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Dulloo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A. Dieting and weight cycling as risk factors for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cardiometabolic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diseases: who is really at risk? Obesity Reviews. 2015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;16:7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>-18.</w:t>
      </w:r>
    </w:p>
    <w:p w:rsidR="00CC2AF0" w:rsidRDefault="00CC2AF0" w:rsidP="00CC2AF0">
      <w:pPr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proofErr w:type="spellStart"/>
      <w:r w:rsidRPr="00CC2AF0">
        <w:rPr>
          <w:rFonts w:ascii="Verdana" w:hAnsi="Verdana"/>
          <w:sz w:val="20"/>
          <w:szCs w:val="20"/>
          <w:lang w:val="en-AU"/>
        </w:rPr>
        <w:t>Strohacker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K, Carpenter K, </w:t>
      </w:r>
      <w:proofErr w:type="spellStart"/>
      <w:proofErr w:type="gramStart"/>
      <w:r w:rsidRPr="00CC2AF0">
        <w:rPr>
          <w:rFonts w:ascii="Verdana" w:hAnsi="Verdana"/>
          <w:sz w:val="20"/>
          <w:szCs w:val="20"/>
          <w:lang w:val="en-AU"/>
        </w:rPr>
        <w:t>McFarlin</w:t>
      </w:r>
      <w:proofErr w:type="spellEnd"/>
      <w:proofErr w:type="gramEnd"/>
      <w:r w:rsidRPr="00CC2AF0">
        <w:rPr>
          <w:rFonts w:ascii="Verdana" w:hAnsi="Verdana"/>
          <w:sz w:val="20"/>
          <w:szCs w:val="20"/>
          <w:lang w:val="en-AU"/>
        </w:rPr>
        <w:t xml:space="preserve"> B. Consequences of weight cycling: an increase in disease risk? International Journal of Exercise Science. 2009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;2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>(3):191-201.</w:t>
      </w:r>
    </w:p>
    <w:p w:rsidR="00CC2AF0" w:rsidRDefault="00CC2AF0" w:rsidP="00CC2AF0">
      <w:pPr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proofErr w:type="spellStart"/>
      <w:r w:rsidRPr="00CC2AF0">
        <w:rPr>
          <w:rFonts w:ascii="Verdana" w:hAnsi="Verdana"/>
          <w:sz w:val="20"/>
          <w:szCs w:val="20"/>
          <w:lang w:val="en-AU"/>
        </w:rPr>
        <w:t>Dulloo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A,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Jacquet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J,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Montani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J,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Schutz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Y. 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How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 xml:space="preserve"> dieting makes the lean fatter: from a perspective of body composition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autoregulation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through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adipostats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and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proteinstats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awaiting discovery. Obesity Reviews. 2015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;16:25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>-35.</w:t>
      </w:r>
    </w:p>
    <w:p w:rsidR="00CC2AF0" w:rsidRDefault="00CC2AF0" w:rsidP="00CC2AF0">
      <w:pPr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CC2AF0" w:rsidRDefault="00CC2AF0" w:rsidP="00CC2AF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r w:rsidRPr="00CC2AF0">
        <w:rPr>
          <w:rFonts w:ascii="Verdana" w:hAnsi="Verdana"/>
          <w:sz w:val="20"/>
          <w:szCs w:val="20"/>
          <w:lang w:val="en-AU"/>
        </w:rPr>
        <w:t xml:space="preserve">Müller M,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Enderle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J, </w:t>
      </w:r>
      <w:proofErr w:type="spellStart"/>
      <w:r w:rsidRPr="00CC2AF0">
        <w:rPr>
          <w:rFonts w:ascii="Verdana" w:hAnsi="Verdana"/>
          <w:sz w:val="20"/>
          <w:szCs w:val="20"/>
          <w:lang w:val="en-AU"/>
        </w:rPr>
        <w:t>Bosy-Westphal</w:t>
      </w:r>
      <w:proofErr w:type="spellEnd"/>
      <w:r w:rsidRPr="00CC2AF0">
        <w:rPr>
          <w:rFonts w:ascii="Verdana" w:hAnsi="Verdana"/>
          <w:sz w:val="20"/>
          <w:szCs w:val="20"/>
          <w:lang w:val="en-AU"/>
        </w:rPr>
        <w:t xml:space="preserve"> A. Changes in Energy Expenditure with Weight Gain and Weight Loss in Humans. Current Obesity Reports. 2016</w:t>
      </w:r>
      <w:proofErr w:type="gramStart"/>
      <w:r w:rsidRPr="00CC2AF0">
        <w:rPr>
          <w:rFonts w:ascii="Verdana" w:hAnsi="Verdana"/>
          <w:sz w:val="20"/>
          <w:szCs w:val="20"/>
          <w:lang w:val="en-AU"/>
        </w:rPr>
        <w:t>;5</w:t>
      </w:r>
      <w:proofErr w:type="gramEnd"/>
      <w:r w:rsidRPr="00CC2AF0">
        <w:rPr>
          <w:rFonts w:ascii="Verdana" w:hAnsi="Verdana"/>
          <w:sz w:val="20"/>
          <w:szCs w:val="20"/>
          <w:lang w:val="en-AU"/>
        </w:rPr>
        <w:t>(4):413-423.</w:t>
      </w:r>
    </w:p>
    <w:p w:rsidR="00CC2AF0" w:rsidRDefault="00CC2AF0" w:rsidP="00CC2AF0">
      <w:pPr>
        <w:pStyle w:val="FootnoteText"/>
        <w:ind w:left="-567"/>
        <w:rPr>
          <w:rFonts w:ascii="Verdana" w:hAnsi="Verdana"/>
          <w:sz w:val="20"/>
          <w:szCs w:val="20"/>
          <w:lang w:val="en-AU"/>
        </w:rPr>
      </w:pPr>
    </w:p>
    <w:p w:rsidR="00CC2AF0" w:rsidRPr="00407E8A" w:rsidRDefault="00CC2AF0" w:rsidP="00CC2AF0">
      <w:pPr>
        <w:pStyle w:val="FootnoteText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proofErr w:type="spellStart"/>
      <w:r w:rsidRPr="00407E8A">
        <w:rPr>
          <w:rFonts w:ascii="Verdana" w:hAnsi="Verdana"/>
          <w:sz w:val="20"/>
          <w:szCs w:val="20"/>
          <w:lang w:val="en-AU"/>
        </w:rPr>
        <w:t>Neamat</w:t>
      </w:r>
      <w:proofErr w:type="spellEnd"/>
      <w:r w:rsidRPr="00407E8A">
        <w:rPr>
          <w:rFonts w:ascii="Verdana" w:hAnsi="Verdana"/>
          <w:sz w:val="20"/>
          <w:szCs w:val="20"/>
          <w:lang w:val="en-AU"/>
        </w:rPr>
        <w:t xml:space="preserve">-Allah J, </w:t>
      </w:r>
      <w:proofErr w:type="spellStart"/>
      <w:r w:rsidRPr="00407E8A">
        <w:rPr>
          <w:rFonts w:ascii="Verdana" w:hAnsi="Verdana"/>
          <w:sz w:val="20"/>
          <w:szCs w:val="20"/>
          <w:lang w:val="en-AU"/>
        </w:rPr>
        <w:t>Barrdahl</w:t>
      </w:r>
      <w:proofErr w:type="spellEnd"/>
      <w:r w:rsidRPr="00407E8A">
        <w:rPr>
          <w:rFonts w:ascii="Verdana" w:hAnsi="Verdana"/>
          <w:sz w:val="20"/>
          <w:szCs w:val="20"/>
          <w:lang w:val="en-AU"/>
        </w:rPr>
        <w:t xml:space="preserve"> M, </w:t>
      </w:r>
      <w:proofErr w:type="spellStart"/>
      <w:r w:rsidRPr="00407E8A">
        <w:rPr>
          <w:rFonts w:ascii="Verdana" w:hAnsi="Verdana"/>
          <w:sz w:val="20"/>
          <w:szCs w:val="20"/>
          <w:lang w:val="en-AU"/>
        </w:rPr>
        <w:t>Hüsing</w:t>
      </w:r>
      <w:proofErr w:type="spellEnd"/>
      <w:r w:rsidRPr="00407E8A">
        <w:rPr>
          <w:rFonts w:ascii="Verdana" w:hAnsi="Verdana"/>
          <w:sz w:val="20"/>
          <w:szCs w:val="20"/>
          <w:lang w:val="en-AU"/>
        </w:rPr>
        <w:t xml:space="preserve"> A. Weight cycling and the risk of type </w:t>
      </w:r>
      <w:proofErr w:type="gramStart"/>
      <w:r w:rsidRPr="00407E8A">
        <w:rPr>
          <w:rFonts w:ascii="Verdana" w:hAnsi="Verdana"/>
          <w:sz w:val="20"/>
          <w:szCs w:val="20"/>
          <w:lang w:val="en-AU"/>
        </w:rPr>
        <w:t>2 diabetes in the EPIC-Germany cohort</w:t>
      </w:r>
      <w:proofErr w:type="gramEnd"/>
      <w:r w:rsidRPr="00407E8A">
        <w:rPr>
          <w:rFonts w:ascii="Verdana" w:hAnsi="Verdana"/>
          <w:sz w:val="20"/>
          <w:szCs w:val="20"/>
          <w:lang w:val="en-AU"/>
        </w:rPr>
        <w:t xml:space="preserve">. </w:t>
      </w:r>
      <w:proofErr w:type="spellStart"/>
      <w:r w:rsidRPr="00407E8A">
        <w:rPr>
          <w:rFonts w:ascii="Verdana" w:hAnsi="Verdana"/>
          <w:sz w:val="20"/>
          <w:szCs w:val="20"/>
          <w:lang w:val="en-AU"/>
        </w:rPr>
        <w:t>Diabetologia</w:t>
      </w:r>
      <w:proofErr w:type="spellEnd"/>
      <w:r w:rsidRPr="00407E8A">
        <w:rPr>
          <w:rFonts w:ascii="Verdana" w:hAnsi="Verdana"/>
          <w:sz w:val="20"/>
          <w:szCs w:val="20"/>
          <w:lang w:val="en-AU"/>
        </w:rPr>
        <w:t>. 2015</w:t>
      </w:r>
      <w:proofErr w:type="gramStart"/>
      <w:r w:rsidRPr="00407E8A">
        <w:rPr>
          <w:rFonts w:ascii="Verdana" w:hAnsi="Verdana"/>
          <w:sz w:val="20"/>
          <w:szCs w:val="20"/>
          <w:lang w:val="en-AU"/>
        </w:rPr>
        <w:t>;58</w:t>
      </w:r>
      <w:proofErr w:type="gramEnd"/>
      <w:r w:rsidRPr="00407E8A">
        <w:rPr>
          <w:rFonts w:ascii="Verdana" w:hAnsi="Verdana"/>
          <w:sz w:val="20"/>
          <w:szCs w:val="20"/>
          <w:lang w:val="en-AU"/>
        </w:rPr>
        <w:t>(12):2718-2725.</w:t>
      </w:r>
    </w:p>
    <w:p w:rsidR="00105FDC" w:rsidRDefault="00105FDC" w:rsidP="00CC2AF0">
      <w:pPr>
        <w:ind w:left="-567"/>
      </w:pPr>
    </w:p>
    <w:sectPr w:rsidR="00105FDC" w:rsidSect="00105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02C"/>
    <w:multiLevelType w:val="hybridMultilevel"/>
    <w:tmpl w:val="8228A09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2F66DB5"/>
    <w:multiLevelType w:val="hybridMultilevel"/>
    <w:tmpl w:val="FE4C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F0"/>
    <w:rsid w:val="00105FDC"/>
    <w:rsid w:val="00C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0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2AF0"/>
  </w:style>
  <w:style w:type="character" w:customStyle="1" w:styleId="FootnoteTextChar">
    <w:name w:val="Footnote Text Char"/>
    <w:basedOn w:val="DefaultParagraphFont"/>
    <w:link w:val="FootnoteText"/>
    <w:uiPriority w:val="99"/>
    <w:rsid w:val="00CC2AF0"/>
    <w:rPr>
      <w:rFonts w:eastAsiaTheme="minorHAns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0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C2AF0"/>
  </w:style>
  <w:style w:type="character" w:customStyle="1" w:styleId="FootnoteTextChar">
    <w:name w:val="Footnote Text Char"/>
    <w:basedOn w:val="DefaultParagraphFont"/>
    <w:link w:val="FootnoteText"/>
    <w:uiPriority w:val="99"/>
    <w:rsid w:val="00CC2AF0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2018-03-14T04:28:00Z</dcterms:created>
  <dcterms:modified xsi:type="dcterms:W3CDTF">2018-03-14T04:29:00Z</dcterms:modified>
</cp:coreProperties>
</file>